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D" w:rsidRPr="001D194D" w:rsidRDefault="001D194D" w:rsidP="001D194D">
      <w:pPr>
        <w:widowControl w:val="0"/>
        <w:shd w:val="clear" w:color="auto" w:fill="FFFFFF"/>
        <w:spacing w:before="300" w:after="0" w:line="370" w:lineRule="exact"/>
        <w:jc w:val="right"/>
        <w:rPr>
          <w:rFonts w:eastAsia="Times New Roman" w:cs="Times New Roman"/>
          <w:b/>
          <w:szCs w:val="28"/>
          <w:lang w:eastAsia="ru-RU" w:bidi="ru-RU"/>
        </w:rPr>
      </w:pPr>
      <w:r w:rsidRPr="001D194D">
        <w:rPr>
          <w:rFonts w:eastAsia="Times New Roman" w:cs="Times New Roman"/>
          <w:b/>
          <w:szCs w:val="28"/>
          <w:lang w:eastAsia="ru-RU" w:bidi="ru-RU"/>
        </w:rPr>
        <w:t>П Р О Е К Т</w:t>
      </w:r>
    </w:p>
    <w:p w:rsidR="001D194D" w:rsidRPr="001D194D" w:rsidRDefault="001D194D" w:rsidP="001D194D">
      <w:pPr>
        <w:widowControl w:val="0"/>
        <w:shd w:val="clear" w:color="auto" w:fill="FFFFFF"/>
        <w:spacing w:before="300"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  <w:r w:rsidRPr="001D194D">
        <w:rPr>
          <w:rFonts w:eastAsia="Times New Roman" w:cs="Times New Roman"/>
          <w:szCs w:val="28"/>
          <w:lang w:eastAsia="ru-RU" w:bidi="ru-RU"/>
        </w:rPr>
        <w:t xml:space="preserve">Внесение изменений в «Местные нормативы градостроительного проектирования </w:t>
      </w:r>
      <w:proofErr w:type="spellStart"/>
      <w:r w:rsidRPr="001D194D">
        <w:rPr>
          <w:rFonts w:eastAsia="Times New Roman" w:cs="Times New Roman"/>
          <w:szCs w:val="28"/>
          <w:lang w:eastAsia="ru-RU" w:bidi="ru-RU"/>
        </w:rPr>
        <w:t>Добровского</w:t>
      </w:r>
      <w:proofErr w:type="spellEnd"/>
      <w:r w:rsidRPr="001D194D">
        <w:rPr>
          <w:rFonts w:eastAsia="Times New Roman" w:cs="Times New Roman"/>
          <w:szCs w:val="28"/>
          <w:lang w:eastAsia="ru-RU" w:bidi="ru-RU"/>
        </w:rPr>
        <w:t xml:space="preserve"> муниципального района Липецкой области» (утверждены решением Совета депутатов </w:t>
      </w:r>
      <w:proofErr w:type="spellStart"/>
      <w:r w:rsidRPr="001D194D">
        <w:rPr>
          <w:rFonts w:eastAsia="Times New Roman" w:cs="Times New Roman"/>
          <w:szCs w:val="28"/>
          <w:lang w:eastAsia="ru-RU" w:bidi="ru-RU"/>
        </w:rPr>
        <w:t>Добровского</w:t>
      </w:r>
      <w:proofErr w:type="spellEnd"/>
      <w:r w:rsidRPr="001D194D">
        <w:rPr>
          <w:rFonts w:eastAsia="Times New Roman" w:cs="Times New Roman"/>
          <w:szCs w:val="28"/>
          <w:lang w:eastAsia="ru-RU" w:bidi="ru-RU"/>
        </w:rPr>
        <w:t xml:space="preserve"> муниципального района Липецкой обл. от 01.02.2017 N 134-рс), добавление нового раздела:</w:t>
      </w:r>
    </w:p>
    <w:p w:rsidR="001D194D" w:rsidRPr="001D194D" w:rsidRDefault="001D194D" w:rsidP="001D194D">
      <w:pPr>
        <w:widowControl w:val="0"/>
        <w:spacing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</w:p>
    <w:p w:rsidR="001D194D" w:rsidRPr="001D194D" w:rsidRDefault="001D194D" w:rsidP="001D194D">
      <w:pPr>
        <w:widowControl w:val="0"/>
        <w:spacing w:after="0" w:line="370" w:lineRule="exact"/>
        <w:ind w:left="20"/>
        <w:jc w:val="center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1.9</w:t>
      </w:r>
      <w:r w:rsidRPr="001D194D">
        <w:rPr>
          <w:rFonts w:eastAsia="Times New Roman" w:cs="Times New Roman"/>
          <w:szCs w:val="28"/>
          <w:lang w:eastAsia="ru-RU" w:bidi="ru-RU"/>
        </w:rPr>
        <w:t xml:space="preserve">. </w:t>
      </w:r>
      <w:r>
        <w:rPr>
          <w:rFonts w:eastAsia="Times New Roman" w:cs="Times New Roman"/>
          <w:szCs w:val="28"/>
          <w:lang w:eastAsia="ru-RU" w:bidi="ru-RU"/>
        </w:rPr>
        <w:t>Требования к проектированию и обеспеченности населения велосипедными дорожками и полосами для велосипедистов</w:t>
      </w:r>
    </w:p>
    <w:p w:rsidR="001D194D" w:rsidRDefault="001D194D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</w:p>
    <w:p w:rsidR="006D03B0" w:rsidRPr="008E1B17" w:rsidRDefault="006D03B0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  <w:r w:rsidRPr="008E1B1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  <w:t>Основные положения</w:t>
      </w:r>
    </w:p>
    <w:p w:rsidR="00750EDC" w:rsidRPr="008E1B17" w:rsidRDefault="00750EDC" w:rsidP="00750EDC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Улично-дорожную сеть населенных пунктов </w:t>
      </w:r>
      <w:r w:rsidR="008E1B17"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(далее- УДС) </w:t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FD3F41" w:rsidRPr="008E1B17" w:rsidRDefault="00FD3F41" w:rsidP="00750EDC">
      <w:pPr>
        <w:spacing w:after="0"/>
        <w:jc w:val="both"/>
        <w:rPr>
          <w:rFonts w:cs="Times New Roman"/>
          <w:spacing w:val="2"/>
          <w:sz w:val="24"/>
          <w:szCs w:val="24"/>
          <w:shd w:val="clear" w:color="auto" w:fill="FFFFFF"/>
        </w:rPr>
      </w:pPr>
    </w:p>
    <w:p w:rsidR="006D03B0" w:rsidRPr="008E1B17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Пешеходные, велосипедные и </w:t>
      </w:r>
      <w:proofErr w:type="spellStart"/>
      <w:r w:rsidRPr="008E1B17">
        <w:rPr>
          <w:spacing w:val="2"/>
        </w:rPr>
        <w:t>велопешеходные</w:t>
      </w:r>
      <w:proofErr w:type="spellEnd"/>
      <w:r w:rsidRPr="008E1B17">
        <w:rPr>
          <w:spacing w:val="2"/>
        </w:rPr>
        <w:t xml:space="preserve"> дорожки должны проектироваться вдоль автомобильных дорог общего пользования.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8E1B17">
        <w:rPr>
          <w:spacing w:val="2"/>
        </w:rPr>
        <w:br/>
      </w:r>
      <w:r w:rsidRPr="008E1B17">
        <w:rPr>
          <w:spacing w:val="2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8E1B17">
        <w:rPr>
          <w:spacing w:val="2"/>
        </w:rPr>
        <w:br/>
      </w:r>
    </w:p>
    <w:p w:rsidR="006D03B0" w:rsidRPr="008E1B17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4E1273" w:rsidRPr="008E1B17" w:rsidRDefault="004E1273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</w:pPr>
      <w:r w:rsidRPr="008E1B1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4"/>
        </w:rPr>
        <w:t>Проектирование велосипедных дорожек</w:t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дорожки располагают на отдельном земляном полотне, у подошвы насыпей и за пределами выемок или на </w:t>
      </w:r>
      <w:r w:rsidR="00041300">
        <w:rPr>
          <w:spacing w:val="2"/>
        </w:rPr>
        <w:t>специально устраиваемых бермах.</w:t>
      </w:r>
      <w:r w:rsidRPr="008E1B17">
        <w:rPr>
          <w:spacing w:val="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</w:t>
      </w:r>
      <w:r w:rsidR="00041300">
        <w:rPr>
          <w:spacing w:val="2"/>
        </w:rPr>
        <w:t>и разделительными полосами.</w:t>
      </w:r>
      <w:r w:rsidRPr="008E1B17">
        <w:rPr>
          <w:spacing w:val="2"/>
        </w:rPr>
        <w:br/>
        <w:t xml:space="preserve">Однополосные велосипедные дорожки располагают с наветренной стороны от дороги (в </w:t>
      </w:r>
      <w:r w:rsidRPr="008E1B17">
        <w:rPr>
          <w:spacing w:val="2"/>
        </w:rPr>
        <w:lastRenderedPageBreak/>
        <w:t xml:space="preserve">расчете на господствующие ветры в летний период), </w:t>
      </w:r>
      <w:proofErr w:type="spellStart"/>
      <w:r w:rsidRPr="008E1B17">
        <w:rPr>
          <w:spacing w:val="2"/>
        </w:rPr>
        <w:t>двухполосные</w:t>
      </w:r>
      <w:proofErr w:type="spellEnd"/>
      <w:r w:rsidRPr="008E1B17">
        <w:rPr>
          <w:spacing w:val="2"/>
        </w:rPr>
        <w:t xml:space="preserve"> - при возмож</w:t>
      </w:r>
      <w:r w:rsidR="00041300">
        <w:rPr>
          <w:spacing w:val="2"/>
        </w:rPr>
        <w:t>ности по обеим сторонам дороги.</w:t>
      </w:r>
    </w:p>
    <w:p w:rsidR="001D194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и </w:t>
      </w:r>
      <w:proofErr w:type="spellStart"/>
      <w:r w:rsidRPr="008E1B17">
        <w:rPr>
          <w:spacing w:val="2"/>
        </w:rPr>
        <w:t>велопешеходные</w:t>
      </w:r>
      <w:proofErr w:type="spellEnd"/>
      <w:r w:rsidRPr="008E1B17">
        <w:rPr>
          <w:spacing w:val="2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 w:rsidR="003B5973" w:rsidRPr="008E1B17">
        <w:rPr>
          <w:spacing w:val="2"/>
        </w:rPr>
        <w:t>1</w:t>
      </w:r>
      <w:r w:rsidRPr="008E1B17">
        <w:rPr>
          <w:spacing w:val="2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8E1B17">
        <w:rPr>
          <w:spacing w:val="2"/>
        </w:rPr>
        <w:t>сут</w:t>
      </w:r>
      <w:proofErr w:type="spellEnd"/>
      <w:r w:rsidRPr="008E1B17">
        <w:rPr>
          <w:spacing w:val="2"/>
        </w:rPr>
        <w:t xml:space="preserve"> (до 150 авт./ч).</w:t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1127"/>
        <w:gridCol w:w="991"/>
        <w:gridCol w:w="854"/>
        <w:gridCol w:w="1022"/>
        <w:gridCol w:w="886"/>
      </w:tblGrid>
      <w:tr w:rsidR="008E1B17" w:rsidRPr="008E1B17" w:rsidTr="004E1273">
        <w:trPr>
          <w:trHeight w:val="12"/>
        </w:trPr>
        <w:tc>
          <w:tcPr>
            <w:tcW w:w="5914" w:type="dxa"/>
            <w:hideMark/>
          </w:tcPr>
          <w:p w:rsidR="004E1273" w:rsidRPr="008E1B17" w:rsidRDefault="004E1273" w:rsidP="001D194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7" w:rsidRPr="008E1B17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1200</w:t>
            </w:r>
          </w:p>
        </w:tc>
      </w:tr>
      <w:tr w:rsidR="008E1B17" w:rsidRPr="008E1B17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E1B17">
              <w:t xml:space="preserve">Расчетная интенсивность движения велосипедистов, </w:t>
            </w:r>
            <w:proofErr w:type="gramStart"/>
            <w:r w:rsidRPr="008E1B17">
              <w:t>вел./</w:t>
            </w:r>
            <w:proofErr w:type="gramEnd"/>
            <w:r w:rsidRPr="008E1B17">
              <w:t>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15</w:t>
            </w:r>
          </w:p>
        </w:tc>
      </w:tr>
    </w:tbl>
    <w:p w:rsidR="00B938A4" w:rsidRPr="008E1B17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E1273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Геометрические параметры велосипедных дорожек представлены в таблице </w:t>
      </w:r>
      <w:r w:rsidR="003B5973" w:rsidRPr="008E1B17">
        <w:rPr>
          <w:spacing w:val="2"/>
        </w:rPr>
        <w:t>2</w:t>
      </w:r>
      <w:r w:rsidRPr="008E1B17">
        <w:rPr>
          <w:spacing w:val="2"/>
        </w:rPr>
        <w:t>.</w:t>
      </w: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2</w:t>
      </w:r>
      <w:r w:rsidRPr="008E1B17">
        <w:rPr>
          <w:spacing w:val="2"/>
        </w:rPr>
        <w:t xml:space="preserve"> - Основные геометрические параметры велосипедной дорожки</w:t>
      </w:r>
    </w:p>
    <w:p w:rsidR="003C0276" w:rsidRDefault="003C0276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71"/>
        <w:gridCol w:w="1771"/>
      </w:tblGrid>
      <w:tr w:rsidR="003C0276"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Нормируемый параметр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Минимальные значения</w:t>
            </w:r>
          </w:p>
        </w:tc>
      </w:tr>
      <w:tr w:rsidR="003C0276"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при новом строительстве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в стесненных условиях</w:t>
            </w:r>
          </w:p>
        </w:tc>
      </w:tr>
      <w:tr w:rsidR="003C0276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Расчетная скорость движения, км/ч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0,75 - 1,0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proofErr w:type="spellStart"/>
            <w:r>
              <w:rPr>
                <w:rFonts w:cs="Times New Roman"/>
                <w:sz w:val="24"/>
              </w:rPr>
              <w:t>двухполосного</w:t>
            </w:r>
            <w:proofErr w:type="spellEnd"/>
            <w:r>
              <w:rPr>
                <w:rFonts w:cs="Times New Roman"/>
                <w:sz w:val="24"/>
              </w:rPr>
              <w:t xml:space="preserve">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1,50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proofErr w:type="spellStart"/>
            <w:r>
              <w:rPr>
                <w:rFonts w:cs="Times New Roman"/>
                <w:sz w:val="24"/>
              </w:rPr>
              <w:t>двухполосного</w:t>
            </w:r>
            <w:proofErr w:type="spellEnd"/>
            <w:r>
              <w:rPr>
                <w:rFonts w:cs="Times New Roman"/>
                <w:sz w:val="24"/>
              </w:rPr>
              <w:t xml:space="preserve">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2,00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 xml:space="preserve">1,5 - 6,0 </w:t>
            </w:r>
            <w:hyperlink w:anchor="P84" w:history="1">
              <w:r>
                <w:rPr>
                  <w:rFonts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 xml:space="preserve">1,5 - 3,25 </w:t>
            </w:r>
            <w:hyperlink w:anchor="P85" w:history="1">
              <w:r>
                <w:rPr>
                  <w:rFonts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 xml:space="preserve">Ширина </w:t>
            </w:r>
            <w:proofErr w:type="spellStart"/>
            <w:r>
              <w:rPr>
                <w:rFonts w:cs="Times New Roman"/>
                <w:sz w:val="24"/>
              </w:rPr>
              <w:t>велопешеходной</w:t>
            </w:r>
            <w:proofErr w:type="spellEnd"/>
            <w:r>
              <w:rPr>
                <w:rFonts w:cs="Times New Roman"/>
                <w:sz w:val="24"/>
              </w:rPr>
              <w:t xml:space="preserve">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 xml:space="preserve">1,5 - 3,0 </w:t>
            </w:r>
            <w:hyperlink w:anchor="P86" w:history="1">
              <w:r>
                <w:rPr>
                  <w:rFonts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 xml:space="preserve">1,5 - 2,0 </w:t>
            </w:r>
            <w:hyperlink w:anchor="P87" w:history="1">
              <w:r>
                <w:rPr>
                  <w:rFonts w:cs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0,90</w:t>
            </w:r>
          </w:p>
        </w:tc>
      </w:tr>
      <w:tr w:rsidR="003C0276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Ширина обочин велосипедной дорожки,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0,5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lastRenderedPageBreak/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400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Наибольший продольный уклон, </w:t>
            </w:r>
            <w:r w:rsidR="003E1463">
              <w:rPr>
                <w:position w:val="-5"/>
              </w:rPr>
              <w:pict>
                <v:shape id="_x0000_i1025" style="width:18.75pt;height:17.25pt" coordsize="" o:spt="100" adj="0,,0" path="" filled="f" stroked="f">
                  <v:stroke joinstyle="miter"/>
                  <v:imagedata r:id="rId5" o:title="base_44_19281_32778"/>
                  <v:formulas/>
                  <v:path o:connecttype="segments"/>
                </v:shape>
              </w:pic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50 - 70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3C0276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Поперечный уклон проезжей части, </w:t>
            </w:r>
            <w:r w:rsidR="003E1463">
              <w:rPr>
                <w:position w:val="-5"/>
              </w:rPr>
              <w:pict>
                <v:shape id="_x0000_i1026" style="width:18.75pt;height:17.25pt" coordsize="" o:spt="100" adj="0,,0" path="" filled="f" stroked="f">
                  <v:stroke joinstyle="miter"/>
                  <v:imagedata r:id="rId5" o:title="base_44_19281_32779"/>
                  <v:formulas/>
                  <v:path o:connecttype="segments"/>
                </v:shape>
              </w:pi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15 - 20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Уклон виража</w:t>
            </w:r>
            <w:proofErr w:type="gramStart"/>
            <w:r>
              <w:rPr>
                <w:rFonts w:cs="Times New Roman"/>
                <w:sz w:val="24"/>
              </w:rPr>
              <w:t xml:space="preserve">, </w:t>
            </w:r>
            <w:r w:rsidR="003E1463">
              <w:rPr>
                <w:position w:val="-5"/>
              </w:rPr>
              <w:pict>
                <v:shape id="_x0000_i1027" style="width:18.75pt;height:17.25pt" coordsize="" o:spt="100" adj="0,,0" path="" filled="f" stroked="f">
                  <v:stroke joinstyle="miter"/>
                  <v:imagedata r:id="rId5" o:title="base_44_19281_32780"/>
                  <v:formulas/>
                  <v:path o:connecttype="segments"/>
                </v:shape>
              </w:pict>
            </w:r>
            <w:r>
              <w:rPr>
                <w:rFonts w:cs="Times New Roman"/>
                <w:sz w:val="24"/>
              </w:rPr>
              <w:t>,</w:t>
            </w:r>
            <w:proofErr w:type="gramEnd"/>
            <w:r>
              <w:rPr>
                <w:rFonts w:cs="Times New Roman"/>
                <w:sz w:val="24"/>
              </w:rPr>
              <w:t xml:space="preserve">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5 - 10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10 - 20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20 - 50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15 - 20</w:t>
            </w:r>
          </w:p>
        </w:tc>
      </w:tr>
      <w:tr w:rsidR="003C0276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50 - 100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</w:pPr>
          </w:p>
        </w:tc>
      </w:tr>
      <w:tr w:rsidR="003C0276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Габарит по высоте,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2,25</w:t>
            </w:r>
          </w:p>
        </w:tc>
      </w:tr>
      <w:tr w:rsidR="003C0276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</w:pPr>
            <w:r>
              <w:rPr>
                <w:rFonts w:cs="Times New Roman"/>
                <w:sz w:val="24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276" w:rsidRDefault="003C0276">
            <w:pPr>
              <w:spacing w:after="1" w:line="240" w:lineRule="atLeast"/>
              <w:jc w:val="center"/>
            </w:pPr>
            <w:r>
              <w:rPr>
                <w:rFonts w:cs="Times New Roman"/>
                <w:sz w:val="24"/>
              </w:rPr>
              <w:t>0,50</w:t>
            </w:r>
          </w:p>
        </w:tc>
      </w:tr>
      <w:tr w:rsidR="003C0276"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276" w:rsidRDefault="003C0276">
            <w:pPr>
              <w:spacing w:after="1" w:line="240" w:lineRule="atLeast"/>
              <w:ind w:firstLine="283"/>
              <w:jc w:val="both"/>
            </w:pPr>
            <w:bookmarkStart w:id="0" w:name="P84"/>
            <w:bookmarkEnd w:id="0"/>
            <w:r>
              <w:rPr>
                <w:rFonts w:cs="Times New Roman"/>
                <w:sz w:val="24"/>
              </w:rPr>
              <w:t>&lt;1&gt; Ширина пешеходной дорожки 1,5 м, велосипедной - 2,5 м.</w:t>
            </w:r>
          </w:p>
          <w:p w:rsidR="003C0276" w:rsidRDefault="003C0276">
            <w:pPr>
              <w:spacing w:after="1" w:line="240" w:lineRule="atLeast"/>
              <w:ind w:firstLine="283"/>
              <w:jc w:val="both"/>
            </w:pPr>
            <w:bookmarkStart w:id="1" w:name="P85"/>
            <w:bookmarkEnd w:id="1"/>
            <w:r>
              <w:rPr>
                <w:rFonts w:cs="Times New Roman"/>
                <w:sz w:val="24"/>
              </w:rPr>
              <w:t>&lt;2&gt; Ширина пешеходной дорожки 1,5 м, велосипедной - 1,75 м.</w:t>
            </w:r>
          </w:p>
          <w:p w:rsidR="003C0276" w:rsidRDefault="003C0276">
            <w:pPr>
              <w:spacing w:after="1" w:line="240" w:lineRule="atLeast"/>
              <w:ind w:firstLine="283"/>
              <w:jc w:val="both"/>
            </w:pPr>
            <w:bookmarkStart w:id="2" w:name="P86"/>
            <w:bookmarkEnd w:id="2"/>
            <w:r>
              <w:rPr>
                <w:rFonts w:cs="Times New Roman"/>
                <w:sz w:val="24"/>
              </w:rPr>
              <w:t xml:space="preserve">&lt;3&gt; При интенсивности движения не более 30 </w:t>
            </w:r>
            <w:proofErr w:type="gramStart"/>
            <w:r>
              <w:rPr>
                <w:rFonts w:cs="Times New Roman"/>
                <w:sz w:val="24"/>
              </w:rPr>
              <w:t>вел./</w:t>
            </w:r>
            <w:proofErr w:type="gramEnd"/>
            <w:r>
              <w:rPr>
                <w:rFonts w:cs="Times New Roman"/>
                <w:sz w:val="24"/>
              </w:rPr>
              <w:t>ч и 15 пеш./ч.</w:t>
            </w:r>
          </w:p>
          <w:p w:rsidR="003C0276" w:rsidRDefault="003C0276">
            <w:pPr>
              <w:spacing w:after="1" w:line="240" w:lineRule="atLeast"/>
              <w:ind w:firstLine="283"/>
              <w:jc w:val="both"/>
            </w:pPr>
            <w:bookmarkStart w:id="3" w:name="P87"/>
            <w:bookmarkEnd w:id="3"/>
            <w:r>
              <w:rPr>
                <w:rFonts w:cs="Times New Roman"/>
                <w:sz w:val="24"/>
              </w:rPr>
              <w:t xml:space="preserve">&lt;4&gt; При интенсивности движения не более 30 </w:t>
            </w:r>
            <w:proofErr w:type="gramStart"/>
            <w:r>
              <w:rPr>
                <w:rFonts w:cs="Times New Roman"/>
                <w:sz w:val="24"/>
              </w:rPr>
              <w:t>вел./</w:t>
            </w:r>
            <w:proofErr w:type="gramEnd"/>
            <w:r>
              <w:rPr>
                <w:rFonts w:cs="Times New Roman"/>
                <w:sz w:val="24"/>
              </w:rPr>
              <w:t>ч и 50 пеш./ч.</w:t>
            </w:r>
          </w:p>
        </w:tc>
      </w:tr>
    </w:tbl>
    <w:p w:rsidR="00B938A4" w:rsidRPr="008E1B17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75C6B" w:rsidRDefault="00D75C6B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D75C6B">
        <w:rPr>
          <w:spacing w:val="2"/>
        </w:rP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</w:t>
      </w:r>
      <w:r>
        <w:rPr>
          <w:spacing w:val="2"/>
        </w:rPr>
        <w:t xml:space="preserve"> населения.</w:t>
      </w:r>
    </w:p>
    <w:p w:rsidR="00D75C6B" w:rsidRDefault="00D75C6B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Велосипедные дорожки следует проектировать как для двустороннего движения (при интенсивности движения до 70 </w:t>
      </w:r>
      <w:proofErr w:type="gramStart"/>
      <w:r w:rsidRPr="008E1B17">
        <w:rPr>
          <w:spacing w:val="2"/>
        </w:rPr>
        <w:t>вел./</w:t>
      </w:r>
      <w:proofErr w:type="gramEnd"/>
      <w:r w:rsidRPr="008E1B17">
        <w:rPr>
          <w:spacing w:val="2"/>
        </w:rPr>
        <w:t>ч), так и для одностороннего (при интенсивности движения более 70 вел./ч).</w:t>
      </w:r>
      <w:r w:rsidRPr="008E1B17">
        <w:rPr>
          <w:spacing w:val="2"/>
        </w:rPr>
        <w:br/>
      </w:r>
      <w:r w:rsidRPr="008E1B17">
        <w:rPr>
          <w:spacing w:val="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8E1B17">
        <w:rPr>
          <w:spacing w:val="2"/>
        </w:rPr>
        <w:br/>
      </w:r>
    </w:p>
    <w:p w:rsidR="00D75C6B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  <w:r w:rsidRPr="008E1B17">
        <w:rPr>
          <w:spacing w:val="2"/>
        </w:rPr>
        <w:br/>
      </w:r>
      <w:r w:rsidRPr="008E1B17">
        <w:rPr>
          <w:spacing w:val="2"/>
        </w:rPr>
        <w:lastRenderedPageBreak/>
        <w:br/>
      </w:r>
    </w:p>
    <w:p w:rsidR="00D75C6B" w:rsidRDefault="00D75C6B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75C6B" w:rsidRDefault="00D75C6B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D75C6B" w:rsidRDefault="00D75C6B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Таблица </w:t>
      </w:r>
      <w:r w:rsidR="003B5973" w:rsidRPr="008E1B17">
        <w:rPr>
          <w:spacing w:val="2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984"/>
        <w:gridCol w:w="1140"/>
        <w:gridCol w:w="1140"/>
        <w:gridCol w:w="1006"/>
        <w:gridCol w:w="1106"/>
        <w:gridCol w:w="973"/>
      </w:tblGrid>
      <w:tr w:rsidR="008E1B17" w:rsidRPr="008E1B17" w:rsidTr="004E1273">
        <w:trPr>
          <w:trHeight w:val="12"/>
        </w:trPr>
        <w:tc>
          <w:tcPr>
            <w:tcW w:w="4066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8E1B17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7" w:rsidRPr="008E1B17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 xml:space="preserve">Численность населения, </w:t>
            </w:r>
            <w:proofErr w:type="spellStart"/>
            <w:r w:rsidRPr="008E1B17">
              <w:t>тыс.чел</w:t>
            </w:r>
            <w:proofErr w:type="spellEnd"/>
            <w:r w:rsidRPr="008E1B17"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25-10</w:t>
            </w:r>
          </w:p>
        </w:tc>
      </w:tr>
      <w:tr w:rsidR="008E1B17" w:rsidRPr="008E1B17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E1B17"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3-1</w:t>
            </w:r>
          </w:p>
        </w:tc>
      </w:tr>
    </w:tbl>
    <w:p w:rsidR="001B66B1" w:rsidRPr="008E1B17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8E1B17">
        <w:rPr>
          <w:spacing w:val="2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Pr="008E1B17">
        <w:rPr>
          <w:spacing w:val="2"/>
        </w:rPr>
        <w:br/>
      </w:r>
    </w:p>
    <w:p w:rsidR="001B66B1" w:rsidRPr="003C0276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8E1B17">
        <w:rPr>
          <w:spacing w:val="2"/>
        </w:rPr>
        <w:br/>
      </w:r>
      <w:r w:rsidRPr="008E1B17">
        <w:rPr>
          <w:spacing w:val="2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Таблица </w:t>
      </w:r>
      <w:r w:rsidR="003B5973" w:rsidRPr="008E1B17">
        <w:rPr>
          <w:spacing w:val="2"/>
        </w:rPr>
        <w:t>4</w:t>
      </w:r>
      <w:r w:rsidRPr="008E1B17">
        <w:rPr>
          <w:spacing w:val="2"/>
        </w:rPr>
        <w:t xml:space="preserve">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45"/>
        <w:gridCol w:w="2045"/>
        <w:gridCol w:w="2045"/>
        <w:gridCol w:w="1605"/>
      </w:tblGrid>
      <w:tr w:rsidR="008E1B17" w:rsidRPr="008E1B17" w:rsidTr="00E34F41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</w:tr>
      <w:tr w:rsidR="008E1B17" w:rsidRPr="008E1B17" w:rsidTr="00E34F4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8E1B17" w:rsidRPr="008E1B17" w:rsidTr="00E34F41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80</w:t>
            </w:r>
          </w:p>
        </w:tc>
      </w:tr>
      <w:tr w:rsidR="008E1B17" w:rsidRPr="008E1B1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200</w:t>
            </w:r>
          </w:p>
        </w:tc>
      </w:tr>
      <w:tr w:rsidR="008E1B17" w:rsidRPr="008E1B1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270</w:t>
            </w:r>
          </w:p>
        </w:tc>
      </w:tr>
      <w:tr w:rsidR="008E1B17" w:rsidRPr="008E1B17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E1B17">
              <w:t>330</w:t>
            </w:r>
          </w:p>
        </w:tc>
      </w:tr>
    </w:tbl>
    <w:p w:rsidR="001B66B1" w:rsidRPr="008E1B17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>Велосипедные дорожки в зоне пересечений с автомобильной дорогой должны быть освещены на расстоянии не менее 60 м.</w:t>
      </w:r>
      <w:r w:rsidRPr="008E1B17">
        <w:rPr>
          <w:spacing w:val="2"/>
        </w:rPr>
        <w:br/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lastRenderedPageBreak/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8E1B17">
        <w:rPr>
          <w:spacing w:val="2"/>
        </w:rPr>
        <w:br/>
      </w:r>
      <w:r w:rsidRPr="008E1B17">
        <w:rPr>
          <w:spacing w:val="2"/>
        </w:rPr>
        <w:br/>
        <w:t xml:space="preserve">При необходимости устройства велосипедного или </w:t>
      </w:r>
      <w:proofErr w:type="gramStart"/>
      <w:r w:rsidRPr="008E1B17">
        <w:rPr>
          <w:spacing w:val="2"/>
        </w:rPr>
        <w:t>пешеходного путепровода</w:t>
      </w:r>
      <w:proofErr w:type="gramEnd"/>
      <w:r w:rsidRPr="008E1B17">
        <w:rPr>
          <w:spacing w:val="2"/>
        </w:rPr>
        <w:t xml:space="preserve">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8E1B17">
        <w:rPr>
          <w:spacing w:val="2"/>
        </w:rPr>
        <w:br/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Покрытия велосипедных дорожек следует устраивать из асфальтобетона, </w:t>
      </w:r>
      <w:proofErr w:type="spellStart"/>
      <w:r w:rsidRPr="008E1B17">
        <w:rPr>
          <w:spacing w:val="2"/>
        </w:rPr>
        <w:t>цементобетона</w:t>
      </w:r>
      <w:proofErr w:type="spellEnd"/>
      <w:r w:rsidRPr="008E1B17">
        <w:rPr>
          <w:spacing w:val="2"/>
        </w:rPr>
        <w:t xml:space="preserve"> и каменных материалов, обработанных вяжущими, а при проектировании </w:t>
      </w:r>
      <w:proofErr w:type="spellStart"/>
      <w:r w:rsidRPr="008E1B17">
        <w:rPr>
          <w:spacing w:val="2"/>
        </w:rPr>
        <w:t>велопешеходных</w:t>
      </w:r>
      <w:proofErr w:type="spellEnd"/>
      <w:r w:rsidRPr="008E1B17">
        <w:rPr>
          <w:spacing w:val="2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6" w:history="1">
        <w:r w:rsidRPr="008E1B17">
          <w:rPr>
            <w:rStyle w:val="a4"/>
            <w:color w:val="auto"/>
            <w:spacing w:val="2"/>
          </w:rPr>
          <w:t>ГОСТ 32753</w:t>
        </w:r>
      </w:hyperlink>
      <w:r w:rsidRPr="008E1B17">
        <w:rPr>
          <w:spacing w:val="2"/>
        </w:rPr>
        <w:t>.</w:t>
      </w:r>
      <w:r w:rsidRPr="008E1B17">
        <w:rPr>
          <w:spacing w:val="2"/>
        </w:rPr>
        <w:br/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 xml:space="preserve">При обустройстве </w:t>
      </w:r>
      <w:proofErr w:type="spellStart"/>
      <w:r w:rsidRPr="008E1B17">
        <w:rPr>
          <w:spacing w:val="2"/>
        </w:rPr>
        <w:t>дождеприемных</w:t>
      </w:r>
      <w:proofErr w:type="spellEnd"/>
      <w:r w:rsidRPr="008E1B17">
        <w:rPr>
          <w:spacing w:val="2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8E1B17">
        <w:rPr>
          <w:spacing w:val="2"/>
        </w:rPr>
        <w:br/>
      </w:r>
    </w:p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E1B17">
        <w:rPr>
          <w:spacing w:val="2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  <w:r w:rsidRPr="008E1B17">
        <w:rPr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E1B17" w:rsidRPr="008E1B17" w:rsidTr="007C18F6">
        <w:trPr>
          <w:trHeight w:val="12"/>
          <w:jc w:val="center"/>
        </w:trPr>
        <w:tc>
          <w:tcPr>
            <w:tcW w:w="9496" w:type="dxa"/>
            <w:hideMark/>
          </w:tcPr>
          <w:p w:rsidR="004E1273" w:rsidRPr="008E1B17" w:rsidRDefault="004E1273">
            <w:pPr>
              <w:rPr>
                <w:sz w:val="2"/>
                <w:szCs w:val="24"/>
              </w:rPr>
            </w:pPr>
            <w:proofErr w:type="spellStart"/>
            <w:r w:rsidRPr="008E1B17">
              <w:rPr>
                <w:rFonts w:cs="Times New Roman"/>
                <w:spacing w:val="2"/>
                <w:sz w:val="24"/>
                <w:szCs w:val="24"/>
              </w:rPr>
              <w:t>Велопарковки</w:t>
            </w:r>
            <w:proofErr w:type="spellEnd"/>
            <w:r w:rsidRPr="008E1B17">
              <w:rPr>
                <w:rFonts w:cs="Times New Roman"/>
                <w:spacing w:val="2"/>
                <w:sz w:val="24"/>
                <w:szCs w:val="24"/>
              </w:rPr>
              <w:t xml:space="preserve"> следует устраивать для длительного хранения велосипедов в зоне объектов дорожного сервиса (гостиницы, мотели и др.</w:t>
            </w:r>
            <w:proofErr w:type="gramStart"/>
            <w:r w:rsidRPr="008E1B17">
              <w:rPr>
                <w:rFonts w:cs="Times New Roman"/>
                <w:spacing w:val="2"/>
                <w:sz w:val="24"/>
                <w:szCs w:val="24"/>
              </w:rPr>
              <w:t>).</w:t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  <w:t>По</w:t>
            </w:r>
            <w:proofErr w:type="gramEnd"/>
            <w:r w:rsidRPr="008E1B17">
              <w:rPr>
                <w:rFonts w:cs="Times New Roman"/>
                <w:spacing w:val="2"/>
                <w:sz w:val="24"/>
                <w:szCs w:val="24"/>
              </w:rPr>
              <w:t xml:space="preserve"> степени закрытости </w:t>
            </w:r>
            <w:proofErr w:type="spellStart"/>
            <w:r w:rsidRPr="008E1B17">
              <w:rPr>
                <w:rFonts w:cs="Times New Roman"/>
                <w:spacing w:val="2"/>
                <w:sz w:val="24"/>
                <w:szCs w:val="24"/>
              </w:rPr>
              <w:t>велопарковки</w:t>
            </w:r>
            <w:proofErr w:type="spellEnd"/>
            <w:r w:rsidRPr="008E1B17">
              <w:rPr>
                <w:rFonts w:cs="Times New Roman"/>
                <w:spacing w:val="2"/>
                <w:sz w:val="24"/>
                <w:szCs w:val="24"/>
              </w:rPr>
              <w:t>, как правило, разделяются на: открытые, открытые с навесом, закрытые.</w:t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</w:r>
            <w:r w:rsidRPr="008E1B17">
              <w:rPr>
                <w:rFonts w:cs="Times New Roman"/>
                <w:spacing w:val="2"/>
                <w:sz w:val="24"/>
                <w:szCs w:val="24"/>
              </w:rPr>
              <w:br/>
              <w:t xml:space="preserve">Чтобы обеспечить удобство пользования </w:t>
            </w:r>
            <w:proofErr w:type="spellStart"/>
            <w:r w:rsidRPr="008E1B17">
              <w:rPr>
                <w:rFonts w:cs="Times New Roman"/>
                <w:spacing w:val="2"/>
                <w:sz w:val="24"/>
                <w:szCs w:val="24"/>
              </w:rPr>
              <w:t>велопарковками</w:t>
            </w:r>
            <w:proofErr w:type="spellEnd"/>
            <w:r w:rsidRPr="008E1B17">
              <w:rPr>
                <w:rFonts w:cs="Times New Roman"/>
                <w:spacing w:val="2"/>
                <w:sz w:val="24"/>
                <w:szCs w:val="24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  <w:r w:rsidRPr="008E1B17">
              <w:rPr>
                <w:rFonts w:ascii="Arial" w:hAnsi="Arial" w:cs="Arial"/>
                <w:spacing w:val="2"/>
                <w:sz w:val="24"/>
                <w:szCs w:val="24"/>
              </w:rPr>
              <w:br/>
            </w:r>
          </w:p>
        </w:tc>
      </w:tr>
      <w:tr w:rsidR="008E1B17" w:rsidRPr="008E1B17" w:rsidTr="007C18F6">
        <w:trPr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8E1B17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E1B17">
              <w:rPr>
                <w:noProof/>
                <w:sz w:val="21"/>
                <w:szCs w:val="21"/>
              </w:rPr>
              <w:drawing>
                <wp:inline distT="0" distB="0" distL="0" distR="0" wp14:anchorId="6C8E51FB" wp14:editId="2AEBEB71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273" w:rsidRPr="008E1B17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E1B17">
        <w:rPr>
          <w:rFonts w:ascii="Arial" w:hAnsi="Arial" w:cs="Arial"/>
          <w:spacing w:val="2"/>
          <w:sz w:val="21"/>
          <w:szCs w:val="21"/>
        </w:rPr>
        <w:br/>
      </w:r>
      <w:r w:rsidRPr="008E1B17">
        <w:rPr>
          <w:spacing w:val="2"/>
        </w:rPr>
        <w:t xml:space="preserve">Рисунок 1 - Минимальные необходимые расстояния для создания </w:t>
      </w:r>
      <w:proofErr w:type="spellStart"/>
      <w:r w:rsidRPr="008E1B17">
        <w:rPr>
          <w:spacing w:val="2"/>
        </w:rPr>
        <w:t>велопарковки</w:t>
      </w:r>
      <w:proofErr w:type="spellEnd"/>
      <w:r w:rsidR="00E177F0" w:rsidRPr="008E1B17">
        <w:rPr>
          <w:spacing w:val="2"/>
        </w:rPr>
        <w:t>.</w:t>
      </w:r>
    </w:p>
    <w:p w:rsidR="00283C40" w:rsidRPr="008E1B17" w:rsidRDefault="00283C40" w:rsidP="00B938A4">
      <w:pPr>
        <w:spacing w:after="0"/>
        <w:jc w:val="center"/>
        <w:rPr>
          <w:sz w:val="24"/>
          <w:szCs w:val="24"/>
        </w:rPr>
      </w:pPr>
    </w:p>
    <w:p w:rsidR="003C0276" w:rsidRDefault="00283C40" w:rsidP="00283C4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lastRenderedPageBreak/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 таблицах </w:t>
      </w:r>
      <w:r w:rsidR="00804689"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5 и </w:t>
      </w: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>6.</w:t>
      </w: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</w:r>
    </w:p>
    <w:p w:rsidR="00283C40" w:rsidRPr="008E1B17" w:rsidRDefault="00283C40" w:rsidP="00283C4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</w:r>
      <w:r w:rsidR="0062238B"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Таблица </w:t>
      </w:r>
      <w:r w:rsidR="007E06F4" w:rsidRPr="008E1B17">
        <w:rPr>
          <w:rFonts w:eastAsia="Times New Roman" w:cs="Times New Roman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8E1B17" w:rsidRPr="008E1B17" w:rsidTr="00965D89">
        <w:trPr>
          <w:trHeight w:val="12"/>
        </w:trPr>
        <w:tc>
          <w:tcPr>
            <w:tcW w:w="2933" w:type="dxa"/>
            <w:hideMark/>
          </w:tcPr>
          <w:p w:rsidR="00283C40" w:rsidRPr="008E1B17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283C40" w:rsidRPr="008E1B17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8E1B17" w:rsidRPr="008E1B1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B17" w:rsidRPr="008E1B1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B17" w:rsidRPr="008E1B17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5D89" w:rsidRPr="008E1B17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965D89" w:rsidRPr="008E1B17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965D89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965D89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8E1B17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  <w:r w:rsidR="00965D89"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3C40" w:rsidRPr="008E1B17" w:rsidRDefault="00283C40" w:rsidP="007E06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103"/>
        <w:gridCol w:w="1120"/>
        <w:gridCol w:w="1049"/>
        <w:gridCol w:w="830"/>
        <w:gridCol w:w="974"/>
        <w:gridCol w:w="1053"/>
        <w:gridCol w:w="987"/>
        <w:gridCol w:w="1013"/>
      </w:tblGrid>
      <w:tr w:rsidR="008E1B17" w:rsidRPr="008E1B17" w:rsidTr="002E7405">
        <w:trPr>
          <w:trHeight w:val="12"/>
        </w:trPr>
        <w:tc>
          <w:tcPr>
            <w:tcW w:w="1587" w:type="dxa"/>
            <w:hideMark/>
          </w:tcPr>
          <w:p w:rsidR="00BB61A5" w:rsidRPr="008E1B17" w:rsidRDefault="00804689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Таблица </w:t>
            </w:r>
            <w:r w:rsidR="00B938A4"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Число полос движения (</w:t>
            </w:r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сумма-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рно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двух </w:t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лениях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Наибо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льший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продоль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радиус верти-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кальной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радиус </w:t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вертика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пешехо</w:t>
            </w:r>
            <w:proofErr w:type="spell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дной</w:t>
            </w:r>
            <w:proofErr w:type="spellEnd"/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тротуара, м</w:t>
            </w:r>
          </w:p>
        </w:tc>
      </w:tr>
      <w:tr w:rsidR="008E1B17" w:rsidRPr="008E1B1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E1B17" w:rsidRPr="008E1B17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17" w:rsidRPr="008E1B17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8E1B17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 При движении в одном </w:t>
            </w:r>
            <w:proofErr w:type="gramStart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направлении.</w:t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* При движении в двух направлениях.</w:t>
            </w:r>
          </w:p>
        </w:tc>
      </w:tr>
    </w:tbl>
    <w:p w:rsidR="003E1463" w:rsidRDefault="003E1463" w:rsidP="002E7405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:rsidR="00BB61A5" w:rsidRDefault="002E7405" w:rsidP="002E7405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Поперечные уклоны элементов поперечного профиля следует </w:t>
      </w:r>
      <w:proofErr w:type="gramStart"/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принимать: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</w:t>
      </w:r>
      <w:proofErr w:type="gramEnd"/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 xml:space="preserve"> для проезжей части - минимальный - 10‰, максимальный - 30‰;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 для тротуара - минимальный - 5‰, максимальный - 20‰;</w:t>
      </w:r>
      <w:r w:rsidRPr="008E1B17">
        <w:rPr>
          <w:rFonts w:cs="Times New Roman"/>
          <w:spacing w:val="2"/>
          <w:sz w:val="24"/>
          <w:szCs w:val="24"/>
        </w:rPr>
        <w:br/>
      </w: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- для велодорожек - минимальный - 5‰, максимальный - 30‰.</w:t>
      </w:r>
    </w:p>
    <w:p w:rsidR="003E1463" w:rsidRPr="008E1B17" w:rsidRDefault="003E1463" w:rsidP="002E7405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:rsidR="002E7405" w:rsidRPr="008E1B17" w:rsidRDefault="002E7405" w:rsidP="002E7405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 w:rsidRPr="008E1B17">
        <w:rPr>
          <w:rFonts w:cs="Times New Roman"/>
          <w:spacing w:val="2"/>
          <w:sz w:val="24"/>
          <w:szCs w:val="24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E7405" w:rsidRPr="008E1B17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r w:rsidR="003E1463">
        <w:rPr>
          <w:rFonts w:eastAsia="Times New Roman" w:cs="Times New Roman"/>
          <w:spacing w:val="2"/>
          <w:sz w:val="24"/>
          <w:szCs w:val="24"/>
          <w:lang w:eastAsia="ru-RU"/>
        </w:rPr>
        <w:t>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1812"/>
      </w:tblGrid>
      <w:tr w:rsidR="008E1B17" w:rsidRPr="008E1B17" w:rsidTr="002E7405">
        <w:trPr>
          <w:trHeight w:val="12"/>
        </w:trPr>
        <w:tc>
          <w:tcPr>
            <w:tcW w:w="9240" w:type="dxa"/>
            <w:hideMark/>
          </w:tcPr>
          <w:p w:rsidR="002E7405" w:rsidRPr="008E1B17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E7405" w:rsidRPr="008E1B17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B17" w:rsidRPr="008E1B17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8E1B17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8E1B17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0,75;</w:t>
            </w:r>
          </w:p>
        </w:tc>
      </w:tr>
      <w:tr w:rsidR="008E1B17" w:rsidRPr="008E1B17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8E1B17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8E1B17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z w:val="24"/>
                <w:szCs w:val="24"/>
                <w:lang w:eastAsia="ru-RU"/>
              </w:rPr>
              <w:t>0,5.</w:t>
            </w:r>
          </w:p>
        </w:tc>
      </w:tr>
    </w:tbl>
    <w:p w:rsidR="002E7405" w:rsidRPr="008E1B17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br/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</w:t>
      </w:r>
      <w:bookmarkStart w:id="4" w:name="_GoBack"/>
      <w:bookmarkEnd w:id="4"/>
      <w:r w:rsidRPr="008E1B17">
        <w:rPr>
          <w:rFonts w:eastAsia="Times New Roman" w:cs="Times New Roman"/>
          <w:spacing w:val="2"/>
          <w:sz w:val="24"/>
          <w:szCs w:val="24"/>
          <w:lang w:eastAsia="ru-RU"/>
        </w:rPr>
        <w:t>5 м при встречном движении. Ширина велосипедной полосы, устраиваемой вдоль тротуара, должна быть не менее 1 м.</w:t>
      </w:r>
    </w:p>
    <w:p w:rsidR="002E7405" w:rsidRPr="008E1B17" w:rsidRDefault="002E7405" w:rsidP="002E7405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344"/>
      </w:tblGrid>
      <w:tr w:rsidR="008E1B17" w:rsidRPr="008E1B17" w:rsidTr="00772C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8E1B17" w:rsidRPr="008E1B17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0,5;</w:t>
            </w:r>
          </w:p>
        </w:tc>
      </w:tr>
      <w:tr w:rsidR="008E1B17" w:rsidRPr="008E1B17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0,28;</w:t>
            </w:r>
          </w:p>
        </w:tc>
      </w:tr>
      <w:tr w:rsidR="008E1B17" w:rsidRPr="008E1B17" w:rsidTr="003E1463">
        <w:trPr>
          <w:trHeight w:val="102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8E1B17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8E1B17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0,1.</w:t>
            </w:r>
          </w:p>
        </w:tc>
      </w:tr>
    </w:tbl>
    <w:p w:rsidR="00772C20" w:rsidRPr="008E1B17" w:rsidRDefault="00772C20" w:rsidP="003E1463">
      <w:pPr>
        <w:spacing w:after="0"/>
        <w:rPr>
          <w:sz w:val="24"/>
        </w:rPr>
      </w:pPr>
    </w:p>
    <w:sectPr w:rsidR="00772C20" w:rsidRPr="008E1B17" w:rsidSect="00471CD2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1EB2"/>
    <w:multiLevelType w:val="hybridMultilevel"/>
    <w:tmpl w:val="8F52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24782"/>
    <w:multiLevelType w:val="hybridMultilevel"/>
    <w:tmpl w:val="F3DE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9"/>
    <w:rsid w:val="00041300"/>
    <w:rsid w:val="0006121C"/>
    <w:rsid w:val="000A7B8B"/>
    <w:rsid w:val="000E7D7D"/>
    <w:rsid w:val="000F7897"/>
    <w:rsid w:val="00112B0A"/>
    <w:rsid w:val="00164CE4"/>
    <w:rsid w:val="00183A39"/>
    <w:rsid w:val="00194CDD"/>
    <w:rsid w:val="001964DB"/>
    <w:rsid w:val="001B2435"/>
    <w:rsid w:val="001B66B1"/>
    <w:rsid w:val="001D194D"/>
    <w:rsid w:val="001E697E"/>
    <w:rsid w:val="001F375E"/>
    <w:rsid w:val="001F5510"/>
    <w:rsid w:val="00272346"/>
    <w:rsid w:val="00283C40"/>
    <w:rsid w:val="0028686E"/>
    <w:rsid w:val="002E7405"/>
    <w:rsid w:val="002F012D"/>
    <w:rsid w:val="00303D82"/>
    <w:rsid w:val="00306C39"/>
    <w:rsid w:val="003105BF"/>
    <w:rsid w:val="0037412C"/>
    <w:rsid w:val="003B5973"/>
    <w:rsid w:val="003C0276"/>
    <w:rsid w:val="003D2381"/>
    <w:rsid w:val="003E1463"/>
    <w:rsid w:val="003E163A"/>
    <w:rsid w:val="003E794E"/>
    <w:rsid w:val="003F5FCE"/>
    <w:rsid w:val="00411FF9"/>
    <w:rsid w:val="00471CD2"/>
    <w:rsid w:val="0048589B"/>
    <w:rsid w:val="004C03FF"/>
    <w:rsid w:val="004D5B3B"/>
    <w:rsid w:val="004E1273"/>
    <w:rsid w:val="004F37BE"/>
    <w:rsid w:val="005048E0"/>
    <w:rsid w:val="00522C5B"/>
    <w:rsid w:val="00532070"/>
    <w:rsid w:val="00541F6D"/>
    <w:rsid w:val="00551C3B"/>
    <w:rsid w:val="00551CB2"/>
    <w:rsid w:val="00563CD1"/>
    <w:rsid w:val="00596273"/>
    <w:rsid w:val="005D7B13"/>
    <w:rsid w:val="006050E6"/>
    <w:rsid w:val="00610AF4"/>
    <w:rsid w:val="0062238B"/>
    <w:rsid w:val="0062618C"/>
    <w:rsid w:val="0063216A"/>
    <w:rsid w:val="00640642"/>
    <w:rsid w:val="00651493"/>
    <w:rsid w:val="006525B5"/>
    <w:rsid w:val="00684D01"/>
    <w:rsid w:val="006D03B0"/>
    <w:rsid w:val="00724207"/>
    <w:rsid w:val="00750EDC"/>
    <w:rsid w:val="00772C20"/>
    <w:rsid w:val="007C18F6"/>
    <w:rsid w:val="007C429E"/>
    <w:rsid w:val="007E06F4"/>
    <w:rsid w:val="007E327A"/>
    <w:rsid w:val="007F4C8D"/>
    <w:rsid w:val="00804689"/>
    <w:rsid w:val="00840F86"/>
    <w:rsid w:val="00857AB0"/>
    <w:rsid w:val="00883FCA"/>
    <w:rsid w:val="008A6635"/>
    <w:rsid w:val="008D5F48"/>
    <w:rsid w:val="008E12B0"/>
    <w:rsid w:val="008E1B17"/>
    <w:rsid w:val="0090537D"/>
    <w:rsid w:val="0091562B"/>
    <w:rsid w:val="00922F1A"/>
    <w:rsid w:val="00956D6E"/>
    <w:rsid w:val="00965D89"/>
    <w:rsid w:val="00992863"/>
    <w:rsid w:val="009A27F6"/>
    <w:rsid w:val="009E4527"/>
    <w:rsid w:val="00A110C2"/>
    <w:rsid w:val="00A22B6D"/>
    <w:rsid w:val="00A35B0B"/>
    <w:rsid w:val="00B12CE6"/>
    <w:rsid w:val="00B92FBF"/>
    <w:rsid w:val="00B938A4"/>
    <w:rsid w:val="00B964FE"/>
    <w:rsid w:val="00BB61A5"/>
    <w:rsid w:val="00BC420C"/>
    <w:rsid w:val="00BF7D15"/>
    <w:rsid w:val="00C01FB1"/>
    <w:rsid w:val="00C21C98"/>
    <w:rsid w:val="00C52809"/>
    <w:rsid w:val="00C55D02"/>
    <w:rsid w:val="00C625E5"/>
    <w:rsid w:val="00C66E07"/>
    <w:rsid w:val="00C763CD"/>
    <w:rsid w:val="00C869B2"/>
    <w:rsid w:val="00CE676E"/>
    <w:rsid w:val="00D0264E"/>
    <w:rsid w:val="00D125FA"/>
    <w:rsid w:val="00D62ED8"/>
    <w:rsid w:val="00D75C6B"/>
    <w:rsid w:val="00D7770B"/>
    <w:rsid w:val="00DB262A"/>
    <w:rsid w:val="00DC31EF"/>
    <w:rsid w:val="00DC44C8"/>
    <w:rsid w:val="00DE14A7"/>
    <w:rsid w:val="00DF4CB3"/>
    <w:rsid w:val="00E177F0"/>
    <w:rsid w:val="00E34F41"/>
    <w:rsid w:val="00E35816"/>
    <w:rsid w:val="00E44A72"/>
    <w:rsid w:val="00E97B6C"/>
    <w:rsid w:val="00EC7456"/>
    <w:rsid w:val="00ED2B23"/>
    <w:rsid w:val="00EE66D9"/>
    <w:rsid w:val="00F3423D"/>
    <w:rsid w:val="00F677DD"/>
    <w:rsid w:val="00FB02C1"/>
    <w:rsid w:val="00FD3EAC"/>
    <w:rsid w:val="00FD3F41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1081-73E9-4407-B2AA-72BB06C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8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55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F2669"/>
    <w:pPr>
      <w:spacing w:after="0" w:line="240" w:lineRule="atLeast"/>
      <w:ind w:left="5103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F26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618C"/>
    <w:pPr>
      <w:ind w:left="720"/>
      <w:contextualSpacing/>
    </w:pPr>
  </w:style>
  <w:style w:type="paragraph" w:styleId="a9">
    <w:name w:val="No Spacing"/>
    <w:uiPriority w:val="1"/>
    <w:qFormat/>
    <w:rsid w:val="006261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lawhead">
    <w:name w:val="lawhead"/>
    <w:basedOn w:val="a"/>
    <w:rsid w:val="007E3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03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9619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3660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9600000000&amp;doc_id=1200123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46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9</cp:revision>
  <cp:lastPrinted>2020-08-19T09:02:00Z</cp:lastPrinted>
  <dcterms:created xsi:type="dcterms:W3CDTF">2020-08-12T11:34:00Z</dcterms:created>
  <dcterms:modified xsi:type="dcterms:W3CDTF">2020-08-19T09:03:00Z</dcterms:modified>
</cp:coreProperties>
</file>