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EC" w:rsidRPr="00441EEC" w:rsidRDefault="00441EEC" w:rsidP="00441EEC">
      <w:pPr>
        <w:ind w:firstLine="708"/>
        <w:jc w:val="center"/>
        <w:rPr>
          <w:rFonts w:ascii="Times New Roman" w:hAnsi="Times New Roman" w:cs="Times New Roman"/>
          <w:b/>
          <w:bCs/>
          <w:sz w:val="28"/>
          <w:szCs w:val="28"/>
        </w:rPr>
      </w:pPr>
      <w:bookmarkStart w:id="0" w:name="_GoBack"/>
      <w:bookmarkEnd w:id="0"/>
      <w:r w:rsidRPr="00441EEC">
        <w:rPr>
          <w:rFonts w:ascii="Times New Roman" w:hAnsi="Times New Roman" w:cs="Times New Roman"/>
          <w:b/>
          <w:bCs/>
          <w:sz w:val="28"/>
          <w:szCs w:val="28"/>
        </w:rPr>
        <w:t>Условия предоставления грантов «Легкий старт».</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Гранты «Легкий старт» в форме субсидий (далее - грант) в объеме 20 000 000,0 руб. в 2019 году на софинансирование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 по одному из  приоритетных направлений деятельности, в соответствии с подпрограммой «Развитие малого и среднего предпринимательства в Липецкой области на 2014 - 2024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 «Об утверждении государственной программы Липецкой области «Модернизация и инновационное развитие экономики Липецкой области».</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Гранты предоставляются начинающим субъектам малого предпринимательства (далее - получатель гранта на цели, установленные настоящим пунктом).</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Условия предоставления гранта: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1) соблюдение получателем гранта на цели, установленные настоящим пунктом, требований, установленных пунктами 3 - 6 статьи 12 настоящего Закона;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2) соблюдение получателем гранта на цели, установленные настоящим пунктом, следующих требований:</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получатель гранта на цели, установленные настоящим пунктом, на дату подачи документов главному распорядителю средств областного бюджета не получал в текущем финансовом году средства из областного бюджета в соответствии с иными нормативными правовыми актами Липецкой области на цели, указанные в настоящем пункте;</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получатель гранта на цели, установленные настоящим пунктом, на дату подачи документов главному распорядителю средств областного бюджета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получатель гранта на цели, установленные настоящим пунктом, зарегистрирован в качестве субъекта малого предпринимательства в IV квартале 2019 года;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lastRenderedPageBreak/>
        <w:t>- получатель гранта на цели, установленные настоящим пунктом, соответствует критериям микропредприятия, установленным Федеральным законом от 24 июля 2007 года N 209-ФЗ «О развитии малого и среднего предпринимательства в Российской Федерации»;</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наличие у получателя гранта на цели, установленные настоящим пунктом, проекта (бизнес-плана) создания и развития собственного дела;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наличие у получателя гранта на цели, установленные настоящим пунктом, плана расходов гранта с указанием затрат, указанных в абзацах тридцатом  – тридцать четвертом настоящего пункта;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получатель гранта на цели, установленные настоящим пунктом, обязуется оплачивать за счет собственных средств не менее 10% стоимости затрат, указанных в плане расходов гранта;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получатель гранта на цели, установленные настоящим пунктом, обязуется использовать грант в течение 12 месяцев со дня поступления средств на его счет;</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получатель гранта на цели, установленные настоящим пунктом, обязуется создать не менее 1 нового постоянного рабочего места в течение 12 месяцев со дня поступления средств на его счет;</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xml:space="preserve"> - получатель гранта на цели, установленные настоящим пунктом, обязуется осуществлять деятельность в течение не менее двух лет после получения гранта;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получатель гранта на цели, установленные настоящим пунктом, соглашается на передачу и обработку его персональных данных в соответствии с законодательством Российской Федерации;</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отбор получателя гранта на цели, установленные настоящим пунктом, на конкурсной основе;</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предоставление получателем гранта на цели, установленные настоящим пунктом, отчетности об использовании средств гранта, выполнении целевых показателей в порядке и по формам, утвержденным в соглашении о предоставлении гранта;</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3) получатель гранта на цели, установленные настоящим пунктом, зарегистрирован и осуществляет свою деятельность на территории Липецкой области по приоритетным направлениям деятельности в соответствии с разделами Общероссийского классификатора видов экономической деятельности ОК 029-2014 (КДЕС Ред.2), утвержденного приказом Росстандарта от 31 января 2014 года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С «Обрабатывающие производства» - за исключением производства подакцизных товаров;</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Е «Водоснабжение; водоотведение, организация сбора и утилизации отходов, деятельность по ликвидации загрязнений» - за исключением кодов 38.32.11, 38.32.2 - 38.32.4;</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G «Торговля оптовая и розничная; ремонт автотранспортных средств и мотоциклов» - код 45.2; коды 45.1, 45.3 - 47 - в части деятельности, осуществляемой в населенных пунктах с численностью населения менее 200 человек;</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I «Деятельность гостиниц и предприятий общественного питания» - коды 55.10, 55.3, 56.10.1, 56.10.21 – 56.10.24;</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J  «Деятельность в области информации и связи» - коды 62.01, 63.1;</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xml:space="preserve">- раздел Р «Образование» - коды 85.11, 85.41.2; </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Q «Деятельность в области здравоохранения и социальных услуг» - за исключением кода 86.9;</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R «Деятельность в области культуры, спорта, организации досуга и развлечений» - коды 93.11, за исключением деятельности псарен, 93.12, 93.13;</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раздел S «Предоставление прочих видов услуг» - коды 95, 96.01, 96.02.</w:t>
      </w:r>
    </w:p>
    <w:p w:rsidR="00441EEC" w:rsidRPr="00441EEC" w:rsidRDefault="00441EEC" w:rsidP="00441EEC">
      <w:pPr>
        <w:jc w:val="both"/>
        <w:rPr>
          <w:rFonts w:ascii="Times New Roman" w:hAnsi="Times New Roman" w:cs="Times New Roman"/>
          <w:sz w:val="28"/>
          <w:szCs w:val="28"/>
        </w:rPr>
      </w:pPr>
      <w:r w:rsidRPr="00441EEC">
        <w:rPr>
          <w:rFonts w:ascii="Times New Roman" w:hAnsi="Times New Roman" w:cs="Times New Roman"/>
          <w:sz w:val="28"/>
          <w:szCs w:val="28"/>
        </w:rPr>
        <w:t xml:space="preserve"> </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Гранты предоставляются по следующим направлениям затрат, произведенным по безналичному расчету:</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приобретение земельных участков для осуществления предпринимательской деятельности в рамках реализации проекта «Легкий старт»;</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разработку проектной документации для строительства или реконструкции производственных и складских зданий, помещений, предназначенных для осуществления предпринимательской деятельности в рамках реализации проекта «Легкий старт»;</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приобретение, строительство, ремонт, модернизация и переустройство производственных и складских зданий, помещений, пристроек и сооружений, необходимых для осуществления предпринимательской деятельности в рамках реализации проекта «Легкий старт»;</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подключение производственных и складских зданий, помещений, пристроек и сооружений, необходимых для осуществления предпринимательской деятельности в рамках реализации проекта «Легкий старт», к электрическим, водо-, газо- и теплопроводным сетям;</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 приобретение оборудования, мебели, материалов, инвентаря, оборудования, необходимого для обеспечения соответствия требованиям Роспотребнадзора, МЧС России.</w:t>
      </w:r>
    </w:p>
    <w:p w:rsidR="00441EEC"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На приобретение инвентаря и материалов направляется не более 20% от суммы гранта на одного получателя субсидии на цели, установленные настоящим пунктом.</w:t>
      </w:r>
    </w:p>
    <w:p w:rsidR="00E33253" w:rsidRPr="00441EEC" w:rsidRDefault="00441EEC" w:rsidP="00441EEC">
      <w:pPr>
        <w:ind w:firstLine="708"/>
        <w:jc w:val="both"/>
        <w:rPr>
          <w:rFonts w:ascii="Times New Roman" w:hAnsi="Times New Roman" w:cs="Times New Roman"/>
          <w:sz w:val="28"/>
          <w:szCs w:val="28"/>
        </w:rPr>
      </w:pPr>
      <w:r w:rsidRPr="00441EEC">
        <w:rPr>
          <w:rFonts w:ascii="Times New Roman" w:hAnsi="Times New Roman" w:cs="Times New Roman"/>
          <w:sz w:val="28"/>
          <w:szCs w:val="28"/>
        </w:rPr>
        <w:t>Гранты предоставляются в размере 100% от затрат, указанных в заявке, но не более 500 000 руб. на одного получателя гранта.».</w:t>
      </w:r>
    </w:p>
    <w:sectPr w:rsidR="00E33253" w:rsidRPr="00441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EC"/>
    <w:rsid w:val="00441EEC"/>
    <w:rsid w:val="006D792B"/>
    <w:rsid w:val="00E3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32360-7806-41FF-9F5F-09F8FA44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5860</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Земельщики</cp:lastModifiedBy>
  <cp:revision>2</cp:revision>
  <dcterms:created xsi:type="dcterms:W3CDTF">2019-10-01T12:10:00Z</dcterms:created>
  <dcterms:modified xsi:type="dcterms:W3CDTF">2019-10-01T12:10:00Z</dcterms:modified>
</cp:coreProperties>
</file>